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43C2BC52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D9092D">
        <w:rPr>
          <w:rFonts w:ascii="Arial" w:hAnsi="Arial" w:cs="Arial"/>
          <w:b/>
          <w:sz w:val="22"/>
          <w:szCs w:val="22"/>
        </w:rPr>
        <w:t>4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5F48C0">
        <w:rPr>
          <w:rFonts w:ascii="Arial" w:hAnsi="Arial" w:cs="Arial"/>
          <w:b/>
          <w:sz w:val="22"/>
          <w:szCs w:val="22"/>
        </w:rPr>
        <w:t>50</w:t>
      </w:r>
      <w:r w:rsidR="004677B3">
        <w:rPr>
          <w:rFonts w:ascii="Arial" w:hAnsi="Arial" w:cs="Arial"/>
          <w:b/>
          <w:sz w:val="22"/>
          <w:szCs w:val="22"/>
        </w:rPr>
        <w:t>1077</w:t>
      </w:r>
    </w:p>
    <w:p w14:paraId="0A9F36F3" w14:textId="2DDAD426" w:rsidR="00830EEF" w:rsidRPr="00830EEF" w:rsidRDefault="00D9092D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</w:rPr>
        <w:t>Athens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Greece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Feb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1</w:t>
      </w:r>
      <w:r>
        <w:rPr>
          <w:rFonts w:ascii="Arial" w:hAnsi="Arial"/>
          <w:b/>
          <w:noProof/>
          <w:sz w:val="22"/>
          <w:szCs w:val="22"/>
        </w:rPr>
        <w:t>7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2</w:t>
      </w:r>
      <w:r>
        <w:rPr>
          <w:rFonts w:ascii="Arial" w:hAnsi="Arial"/>
          <w:b/>
          <w:noProof/>
          <w:sz w:val="22"/>
          <w:szCs w:val="22"/>
        </w:rPr>
        <w:t>1</w:t>
      </w:r>
      <w:r>
        <w:rPr>
          <w:rFonts w:ascii="Arial" w:hAnsi="Arial"/>
          <w:b/>
          <w:noProof/>
          <w:sz w:val="22"/>
          <w:szCs w:val="22"/>
          <w:vertAlign w:val="superscript"/>
        </w:rPr>
        <w:t>st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>
        <w:rPr>
          <w:rFonts w:ascii="Arial" w:hAnsi="Arial"/>
          <w:b/>
          <w:noProof/>
          <w:sz w:val="22"/>
          <w:szCs w:val="22"/>
        </w:rPr>
        <w:t>5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6419A89B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460C29" w:rsidRPr="00460C29">
        <w:rPr>
          <w:rFonts w:ascii="Arial" w:hAnsi="Arial" w:cs="Arial"/>
          <w:b/>
          <w:sz w:val="22"/>
        </w:rPr>
        <w:t>Further discussion on MPR applicability for FR1 intra-band UL CA</w:t>
      </w:r>
    </w:p>
    <w:p w14:paraId="73AD8CE3" w14:textId="3925110E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460C29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460C29">
        <w:rPr>
          <w:rFonts w:ascii="Arial" w:hAnsi="Arial" w:cs="Arial"/>
          <w:b/>
          <w:bCs/>
          <w:sz w:val="22"/>
          <w:lang w:eastAsia="zh-CN"/>
        </w:rPr>
        <w:t>1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460C29">
        <w:rPr>
          <w:rFonts w:ascii="Arial" w:hAnsi="Arial" w:cs="Arial"/>
          <w:b/>
          <w:bCs/>
          <w:sz w:val="22"/>
          <w:lang w:eastAsia="zh-CN"/>
        </w:rPr>
        <w:t>1.2.2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6A8BCEB8" w14:textId="6E50A833" w:rsidR="005B47FD" w:rsidRDefault="00511165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Regarding MPR applicability for FR1 intra-band UL CA, RAN4#113 has made the following agreements and identified one open issue on intra-band non-contiguous CA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325D52" w:rsidRPr="007622E6" w14:paraId="5A9DB7D2" w14:textId="77777777" w:rsidTr="00325D52">
        <w:tc>
          <w:tcPr>
            <w:tcW w:w="10457" w:type="dxa"/>
          </w:tcPr>
          <w:p w14:paraId="3EFB08AC" w14:textId="77777777" w:rsidR="007622E6" w:rsidRPr="007622E6" w:rsidRDefault="007622E6" w:rsidP="007622E6">
            <w:pPr>
              <w:pStyle w:val="Heading4"/>
              <w:spacing w:before="0" w:after="60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  <w:u w:val="single"/>
                <w:lang w:val="en-US" w:eastAsia="ko-KR"/>
              </w:rPr>
            </w:pPr>
            <w:r w:rsidRPr="007622E6"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  <w:u w:val="single"/>
                <w:lang w:val="en-US" w:eastAsia="ko-KR"/>
              </w:rPr>
              <w:t xml:space="preserve">Issue 2-1-1: </w:t>
            </w:r>
            <w:r w:rsidRPr="007622E6"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  <w:u w:val="single"/>
                <w:lang w:val="en-US"/>
              </w:rPr>
              <w:t>Applicable emission requirements for PC2/PC3 intra-band contiguous CA with single activated cell</w:t>
            </w:r>
          </w:p>
          <w:p w14:paraId="3F888AB9" w14:textId="77777777" w:rsidR="007622E6" w:rsidRPr="007622E6" w:rsidRDefault="007622E6" w:rsidP="007622E6">
            <w:pPr>
              <w:spacing w:beforeLines="50" w:before="120" w:after="60"/>
              <w:jc w:val="both"/>
              <w:rPr>
                <w:bCs/>
                <w:i/>
                <w:iCs/>
                <w:color w:val="000000" w:themeColor="text1"/>
                <w:szCs w:val="24"/>
                <w:highlight w:val="green"/>
                <w:lang w:eastAsia="zh-CN"/>
              </w:rPr>
            </w:pPr>
            <w:r w:rsidRPr="007622E6">
              <w:rPr>
                <w:rFonts w:hint="eastAsia"/>
                <w:bCs/>
                <w:i/>
                <w:iCs/>
                <w:color w:val="000000" w:themeColor="text1"/>
                <w:szCs w:val="24"/>
                <w:highlight w:val="green"/>
                <w:lang w:eastAsia="zh-CN"/>
              </w:rPr>
              <w:t>A</w:t>
            </w:r>
            <w:r w:rsidRPr="007622E6">
              <w:rPr>
                <w:bCs/>
                <w:i/>
                <w:iCs/>
                <w:color w:val="000000" w:themeColor="text1"/>
                <w:szCs w:val="24"/>
                <w:highlight w:val="green"/>
                <w:lang w:eastAsia="zh-CN"/>
              </w:rPr>
              <w:t>greement in main session:</w:t>
            </w:r>
          </w:p>
          <w:p w14:paraId="684BC3C8" w14:textId="503FDE9B" w:rsidR="007622E6" w:rsidRPr="007622E6" w:rsidRDefault="007622E6" w:rsidP="007622E6">
            <w:pPr>
              <w:pStyle w:val="ListParagraph"/>
              <w:numPr>
                <w:ilvl w:val="0"/>
                <w:numId w:val="37"/>
              </w:numPr>
              <w:ind w:firstLineChars="0"/>
              <w:rPr>
                <w:rFonts w:eastAsiaTheme="minorEastAsia"/>
                <w:bCs/>
                <w:i/>
                <w:iCs/>
                <w:color w:val="000000" w:themeColor="text1"/>
              </w:rPr>
            </w:pPr>
            <w:r w:rsidRPr="007622E6">
              <w:rPr>
                <w:rFonts w:eastAsiaTheme="minorEastAsia"/>
                <w:bCs/>
                <w:i/>
                <w:iCs/>
                <w:color w:val="000000" w:themeColor="text1"/>
              </w:rPr>
              <w:t xml:space="preserve">ULCA emission requirements (SEM/ACLR/SE) based on the aggregated BW should apply, independent of the </w:t>
            </w:r>
            <w:proofErr w:type="spellStart"/>
            <w:r w:rsidRPr="007622E6">
              <w:rPr>
                <w:rFonts w:eastAsiaTheme="minorEastAsia"/>
                <w:bCs/>
                <w:i/>
                <w:iCs/>
                <w:color w:val="000000" w:themeColor="text1"/>
              </w:rPr>
              <w:t>dualPA</w:t>
            </w:r>
            <w:proofErr w:type="spellEnd"/>
            <w:r w:rsidRPr="007622E6">
              <w:rPr>
                <w:rFonts w:eastAsiaTheme="minorEastAsia"/>
                <w:bCs/>
                <w:i/>
                <w:iCs/>
                <w:color w:val="000000" w:themeColor="text1"/>
              </w:rPr>
              <w:t xml:space="preserve"> IE indication.</w:t>
            </w:r>
          </w:p>
          <w:p w14:paraId="3DA2CB23" w14:textId="77777777" w:rsidR="007622E6" w:rsidRPr="007622E6" w:rsidRDefault="007622E6" w:rsidP="007622E6">
            <w:pPr>
              <w:pStyle w:val="Heading4"/>
              <w:spacing w:before="0" w:after="60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  <w:u w:val="single"/>
                <w:lang w:val="en-US" w:eastAsia="ko-KR"/>
              </w:rPr>
            </w:pPr>
            <w:r w:rsidRPr="007622E6"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  <w:u w:val="single"/>
                <w:lang w:val="en-US" w:eastAsia="ko-KR"/>
              </w:rPr>
              <w:t xml:space="preserve">Issue 2-1-2: </w:t>
            </w:r>
            <w:r w:rsidRPr="007622E6"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  <w:u w:val="single"/>
                <w:lang w:val="en-US"/>
              </w:rPr>
              <w:t>Applicable emission requirements for PC1.5 intra-band contiguous CA with single activated cell</w:t>
            </w:r>
          </w:p>
          <w:p w14:paraId="2957E4BE" w14:textId="77777777" w:rsidR="007622E6" w:rsidRPr="007622E6" w:rsidRDefault="007622E6" w:rsidP="007622E6">
            <w:pPr>
              <w:spacing w:beforeLines="50" w:before="120" w:after="60"/>
              <w:jc w:val="both"/>
              <w:rPr>
                <w:bCs/>
                <w:i/>
                <w:iCs/>
                <w:color w:val="000000" w:themeColor="text1"/>
                <w:szCs w:val="24"/>
                <w:lang w:eastAsia="zh-CN"/>
              </w:rPr>
            </w:pPr>
            <w:r w:rsidRPr="007622E6">
              <w:rPr>
                <w:bCs/>
                <w:i/>
                <w:iCs/>
                <w:color w:val="000000" w:themeColor="text1"/>
                <w:szCs w:val="24"/>
                <w:lang w:eastAsia="zh-CN"/>
              </w:rPr>
              <w:t>Agreement</w:t>
            </w:r>
          </w:p>
          <w:p w14:paraId="0F4B6E20" w14:textId="2E2F99F9" w:rsidR="007622E6" w:rsidRPr="007622E6" w:rsidRDefault="007622E6" w:rsidP="007622E6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jc w:val="both"/>
              <w:textAlignment w:val="auto"/>
              <w:rPr>
                <w:rFonts w:eastAsia="SimSun"/>
                <w:bCs/>
                <w:i/>
                <w:iCs/>
                <w:color w:val="000000" w:themeColor="text1"/>
                <w:szCs w:val="24"/>
                <w:lang w:eastAsia="zh-CN"/>
              </w:rPr>
            </w:pPr>
            <w:r w:rsidRPr="007622E6">
              <w:rPr>
                <w:rFonts w:eastAsia="SimSun" w:hint="eastAsia"/>
                <w:bCs/>
                <w:i/>
                <w:iCs/>
                <w:color w:val="000000" w:themeColor="text1"/>
                <w:szCs w:val="24"/>
                <w:lang w:eastAsia="zh-CN"/>
              </w:rPr>
              <w:t>D</w:t>
            </w:r>
            <w:r w:rsidRPr="007622E6">
              <w:rPr>
                <w:rFonts w:eastAsia="SimSun"/>
                <w:bCs/>
                <w:i/>
                <w:iCs/>
                <w:color w:val="000000" w:themeColor="text1"/>
                <w:szCs w:val="24"/>
                <w:lang w:eastAsia="zh-CN"/>
              </w:rPr>
              <w:t>rop the discussion, as it was already discussed and agreed in last meeting that to further discuss handling of PC1.5 once the UL CA requirements are available</w:t>
            </w:r>
          </w:p>
          <w:p w14:paraId="5BCC850F" w14:textId="77777777" w:rsidR="007622E6" w:rsidRPr="007622E6" w:rsidRDefault="007622E6" w:rsidP="007622E6">
            <w:pPr>
              <w:pStyle w:val="Heading3"/>
              <w:rPr>
                <w:bCs/>
                <w:i/>
                <w:iCs/>
                <w:color w:val="000000" w:themeColor="text1"/>
                <w:sz w:val="24"/>
                <w:szCs w:val="16"/>
                <w:lang w:val="en-US"/>
              </w:rPr>
            </w:pPr>
            <w:r w:rsidRPr="007622E6">
              <w:rPr>
                <w:bCs/>
                <w:i/>
                <w:iCs/>
                <w:color w:val="000000" w:themeColor="text1"/>
                <w:sz w:val="24"/>
                <w:szCs w:val="16"/>
                <w:lang w:val="en-US"/>
              </w:rPr>
              <w:t>Sub-topic 2-2: Intra-band non-contiguous CA</w:t>
            </w:r>
          </w:p>
          <w:p w14:paraId="50197C92" w14:textId="77777777" w:rsidR="007622E6" w:rsidRPr="007622E6" w:rsidRDefault="007622E6" w:rsidP="007622E6">
            <w:pPr>
              <w:pStyle w:val="Heading4"/>
              <w:spacing w:before="0" w:after="60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  <w:u w:val="single"/>
                <w:lang w:val="en-US" w:eastAsia="ko-KR"/>
              </w:rPr>
            </w:pPr>
            <w:r w:rsidRPr="007622E6"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  <w:u w:val="single"/>
                <w:lang w:val="en-US" w:eastAsia="ko-KR"/>
              </w:rPr>
              <w:t>Issue 2-2-1: Applicable MPR and corresponding spectrum requirements for PC2/PC3 intra-band NC CA</w:t>
            </w:r>
          </w:p>
          <w:p w14:paraId="7CCCCAFF" w14:textId="77777777" w:rsidR="007622E6" w:rsidRPr="007622E6" w:rsidRDefault="007622E6" w:rsidP="007622E6">
            <w:pPr>
              <w:spacing w:beforeLines="50" w:before="120" w:after="60"/>
              <w:jc w:val="both"/>
              <w:rPr>
                <w:bCs/>
                <w:i/>
                <w:iCs/>
                <w:color w:val="000000" w:themeColor="text1"/>
                <w:highlight w:val="green"/>
                <w:lang w:val="en-US" w:eastAsia="zh-CN"/>
              </w:rPr>
            </w:pPr>
            <w:r w:rsidRPr="007622E6">
              <w:rPr>
                <w:rFonts w:hint="eastAsia"/>
                <w:bCs/>
                <w:i/>
                <w:iCs/>
                <w:color w:val="000000" w:themeColor="text1"/>
                <w:szCs w:val="24"/>
                <w:highlight w:val="green"/>
                <w:lang w:eastAsia="zh-CN"/>
              </w:rPr>
              <w:t>A</w:t>
            </w:r>
            <w:r w:rsidRPr="007622E6">
              <w:rPr>
                <w:bCs/>
                <w:i/>
                <w:iCs/>
                <w:color w:val="000000" w:themeColor="text1"/>
                <w:szCs w:val="24"/>
                <w:highlight w:val="green"/>
                <w:lang w:eastAsia="zh-CN"/>
              </w:rPr>
              <w:t>greement in main session:</w:t>
            </w:r>
          </w:p>
          <w:p w14:paraId="5794904C" w14:textId="77777777" w:rsidR="007622E6" w:rsidRPr="007622E6" w:rsidRDefault="007622E6" w:rsidP="007622E6">
            <w:pPr>
              <w:pStyle w:val="ListParagraph"/>
              <w:numPr>
                <w:ilvl w:val="0"/>
                <w:numId w:val="37"/>
              </w:numPr>
              <w:ind w:firstLineChars="0"/>
              <w:jc w:val="both"/>
              <w:rPr>
                <w:rFonts w:eastAsiaTheme="minorEastAsia"/>
                <w:bCs/>
                <w:i/>
                <w:iCs/>
                <w:color w:val="000000" w:themeColor="text1"/>
              </w:rPr>
            </w:pPr>
            <w:r w:rsidRPr="007622E6">
              <w:rPr>
                <w:rFonts w:eastAsiaTheme="minorEastAsia"/>
                <w:bCs/>
                <w:i/>
                <w:iCs/>
                <w:color w:val="000000" w:themeColor="text1"/>
              </w:rPr>
              <w:t xml:space="preserve">No change of applicable MPR requirement in current spec but with clarification that applicable emission requirements are composite based regardless of </w:t>
            </w:r>
            <w:proofErr w:type="spellStart"/>
            <w:r w:rsidRPr="007622E6">
              <w:rPr>
                <w:rFonts w:eastAsiaTheme="minorEastAsia"/>
                <w:bCs/>
                <w:i/>
                <w:iCs/>
                <w:color w:val="000000" w:themeColor="text1"/>
              </w:rPr>
              <w:t>dualPA</w:t>
            </w:r>
            <w:proofErr w:type="spellEnd"/>
            <w:r w:rsidRPr="007622E6">
              <w:rPr>
                <w:rFonts w:eastAsiaTheme="minorEastAsia"/>
                <w:bCs/>
                <w:i/>
                <w:iCs/>
                <w:color w:val="000000" w:themeColor="text1"/>
              </w:rPr>
              <w:t xml:space="preserve"> IE indication.</w:t>
            </w:r>
          </w:p>
          <w:p w14:paraId="79709098" w14:textId="77777777" w:rsidR="007622E6" w:rsidRPr="007622E6" w:rsidRDefault="007622E6" w:rsidP="007622E6">
            <w:pPr>
              <w:pStyle w:val="ListParagraph"/>
              <w:numPr>
                <w:ilvl w:val="1"/>
                <w:numId w:val="37"/>
              </w:numPr>
              <w:ind w:firstLineChars="0"/>
              <w:jc w:val="both"/>
              <w:rPr>
                <w:rFonts w:eastAsiaTheme="minorEastAsia"/>
                <w:bCs/>
                <w:i/>
                <w:iCs/>
                <w:color w:val="000000" w:themeColor="text1"/>
              </w:rPr>
            </w:pPr>
            <w:r w:rsidRPr="007622E6">
              <w:rPr>
                <w:rFonts w:eastAsiaTheme="minorEastAsia"/>
                <w:bCs/>
                <w:i/>
                <w:iCs/>
                <w:color w:val="000000" w:themeColor="text1"/>
              </w:rPr>
              <w:t>FFS on whether update MPR for Single CC Fallback from Non-contiguous ULCA without dual PA support depending on UE capability.</w:t>
            </w:r>
          </w:p>
          <w:p w14:paraId="232196AA" w14:textId="6C050F62" w:rsidR="00325D52" w:rsidRPr="007622E6" w:rsidRDefault="007622E6" w:rsidP="007622E6">
            <w:pPr>
              <w:pStyle w:val="ListParagraph"/>
              <w:numPr>
                <w:ilvl w:val="1"/>
                <w:numId w:val="37"/>
              </w:numPr>
              <w:ind w:firstLineChars="0"/>
              <w:jc w:val="both"/>
              <w:rPr>
                <w:rFonts w:eastAsiaTheme="minorEastAsia"/>
                <w:bCs/>
                <w:i/>
                <w:iCs/>
                <w:color w:val="000000" w:themeColor="text1"/>
              </w:rPr>
            </w:pPr>
            <w:r w:rsidRPr="007622E6">
              <w:rPr>
                <w:rFonts w:eastAsiaTheme="minorEastAsia" w:hint="eastAsia"/>
                <w:bCs/>
                <w:i/>
                <w:iCs/>
                <w:color w:val="000000" w:themeColor="text1"/>
                <w:lang w:eastAsia="zh-CN"/>
              </w:rPr>
              <w:t>N</w:t>
            </w:r>
            <w:r w:rsidRPr="007622E6">
              <w:rPr>
                <w:rFonts w:eastAsiaTheme="minorEastAsia"/>
                <w:bCs/>
                <w:i/>
                <w:iCs/>
                <w:color w:val="000000" w:themeColor="text1"/>
                <w:lang w:eastAsia="zh-CN"/>
              </w:rPr>
              <w:t xml:space="preserve">ote: </w:t>
            </w:r>
            <w:r w:rsidRPr="007622E6">
              <w:rPr>
                <w:rFonts w:eastAsiaTheme="minorEastAsia"/>
                <w:bCs/>
                <w:i/>
                <w:iCs/>
                <w:color w:val="000000" w:themeColor="text1"/>
              </w:rPr>
              <w:t>Composite emissions means</w:t>
            </w:r>
            <w:r w:rsidRPr="007622E6">
              <w:rPr>
                <w:rFonts w:eastAsiaTheme="minorEastAsia"/>
                <w:bCs/>
                <w:i/>
                <w:iCs/>
                <w:color w:val="000000" w:themeColor="text1"/>
                <w:lang w:eastAsia="zh-CN"/>
              </w:rPr>
              <w:t xml:space="preserve"> </w:t>
            </w:r>
            <w:r w:rsidRPr="007622E6">
              <w:rPr>
                <w:bCs/>
                <w:i/>
                <w:iCs/>
                <w:lang w:eastAsia="zh-CN"/>
              </w:rPr>
              <w:t>combination of individual sub-block emissions.</w:t>
            </w:r>
          </w:p>
        </w:tc>
      </w:tr>
    </w:tbl>
    <w:p w14:paraId="633E01D4" w14:textId="77777777" w:rsidR="00325D52" w:rsidRDefault="00325D52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108135D7" w14:textId="3669E8F5" w:rsidR="00325D52" w:rsidRPr="00627FD1" w:rsidRDefault="00511165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contribution, we provide our view on this open issue.</w:t>
      </w:r>
    </w:p>
    <w:p w14:paraId="383D39F2" w14:textId="78EDFAB8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1B434D">
        <w:t>Discussion</w:t>
      </w:r>
    </w:p>
    <w:p w14:paraId="0D4D142A" w14:textId="3C9D13F1" w:rsidR="00D80973" w:rsidRDefault="002F17B5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For the current specs, MPR for two non-contiguous UL CCs is specified in a way by considering whether or not </w:t>
      </w:r>
      <w:proofErr w:type="spellStart"/>
      <w:r w:rsidRPr="002F17B5">
        <w:rPr>
          <w:i/>
          <w:iCs/>
          <w:sz w:val="24"/>
          <w:szCs w:val="24"/>
          <w:lang w:eastAsia="zh-CN"/>
        </w:rPr>
        <w:t>dualPA</w:t>
      </w:r>
      <w:proofErr w:type="spellEnd"/>
      <w:r w:rsidRPr="002F17B5">
        <w:rPr>
          <w:i/>
          <w:iCs/>
          <w:sz w:val="24"/>
          <w:szCs w:val="24"/>
          <w:lang w:eastAsia="zh-CN"/>
        </w:rPr>
        <w:t>-architecture</w:t>
      </w:r>
      <w:r>
        <w:rPr>
          <w:sz w:val="24"/>
          <w:szCs w:val="24"/>
          <w:lang w:eastAsia="zh-CN"/>
        </w:rPr>
        <w:t xml:space="preserve"> is supported. For the open issue related to UL CA without dual PA, the specs reads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2F17B5" w:rsidRPr="002F17B5" w14:paraId="585A05E0" w14:textId="77777777" w:rsidTr="002F17B5">
        <w:tc>
          <w:tcPr>
            <w:tcW w:w="10457" w:type="dxa"/>
          </w:tcPr>
          <w:p w14:paraId="021B4934" w14:textId="77777777" w:rsidR="002F17B5" w:rsidRPr="002F17B5" w:rsidRDefault="002F17B5" w:rsidP="002F17B5">
            <w:pPr>
              <w:spacing w:after="0"/>
              <w:rPr>
                <w:i/>
                <w:iCs/>
              </w:rPr>
            </w:pPr>
            <w:r w:rsidRPr="002F17B5">
              <w:rPr>
                <w:rFonts w:eastAsia="Yu Mincho"/>
                <w:i/>
                <w:iCs/>
              </w:rPr>
              <w:t xml:space="preserve">For UE without indicating </w:t>
            </w:r>
            <w:proofErr w:type="spellStart"/>
            <w:r w:rsidRPr="002F17B5">
              <w:rPr>
                <w:i/>
                <w:iCs/>
              </w:rPr>
              <w:t>dualPA</w:t>
            </w:r>
            <w:proofErr w:type="spellEnd"/>
            <w:r w:rsidRPr="002F17B5">
              <w:rPr>
                <w:i/>
                <w:iCs/>
              </w:rPr>
              <w:t>-Architecture supported</w:t>
            </w:r>
          </w:p>
          <w:p w14:paraId="6BD3EE9C" w14:textId="77777777" w:rsidR="002F17B5" w:rsidRPr="002F17B5" w:rsidRDefault="002F17B5" w:rsidP="002F17B5">
            <w:pPr>
              <w:spacing w:after="0"/>
              <w:rPr>
                <w:rFonts w:eastAsia="Yu Mincho"/>
                <w:i/>
                <w:iCs/>
              </w:rPr>
            </w:pPr>
          </w:p>
          <w:p w14:paraId="3C75C2A5" w14:textId="77777777" w:rsidR="002F17B5" w:rsidRPr="002F17B5" w:rsidRDefault="002F17B5" w:rsidP="002F17B5">
            <w:pPr>
              <w:spacing w:after="0"/>
              <w:ind w:left="568"/>
              <w:rPr>
                <w:rFonts w:eastAsia="Yu Mincho"/>
                <w:i/>
                <w:iCs/>
              </w:rPr>
            </w:pPr>
            <w:r w:rsidRPr="002F17B5">
              <w:rPr>
                <w:rFonts w:eastAsia="Yu Mincho"/>
                <w:i/>
                <w:iCs/>
              </w:rPr>
              <w:t xml:space="preserve">If OR( </w:t>
            </w:r>
            <w:r w:rsidRPr="002F17B5">
              <w:rPr>
                <w:i/>
                <w:iCs/>
              </w:rPr>
              <w:t>L</w:t>
            </w:r>
            <w:r w:rsidRPr="002F17B5">
              <w:rPr>
                <w:i/>
                <w:iCs/>
                <w:vertAlign w:val="subscript"/>
              </w:rPr>
              <w:t xml:space="preserve">CRB1 </w:t>
            </w:r>
            <w:r w:rsidRPr="002F17B5">
              <w:rPr>
                <w:rFonts w:eastAsia="Yu Mincho"/>
                <w:i/>
                <w:iCs/>
              </w:rPr>
              <w:t xml:space="preserve">= 0, </w:t>
            </w:r>
            <w:r w:rsidRPr="002F17B5">
              <w:rPr>
                <w:i/>
                <w:iCs/>
              </w:rPr>
              <w:t>L</w:t>
            </w:r>
            <w:r w:rsidRPr="002F17B5">
              <w:rPr>
                <w:i/>
                <w:iCs/>
                <w:vertAlign w:val="subscript"/>
              </w:rPr>
              <w:t xml:space="preserve">CRB2 </w:t>
            </w:r>
            <w:r w:rsidRPr="002F17B5">
              <w:rPr>
                <w:rFonts w:eastAsia="Yu Mincho"/>
                <w:i/>
                <w:iCs/>
              </w:rPr>
              <w:t>= 0 )</w:t>
            </w:r>
          </w:p>
          <w:p w14:paraId="0CB91AF9" w14:textId="77777777" w:rsidR="002F17B5" w:rsidRPr="002F17B5" w:rsidRDefault="002F17B5" w:rsidP="002F17B5">
            <w:pPr>
              <w:spacing w:after="0"/>
              <w:ind w:left="568"/>
              <w:rPr>
                <w:rFonts w:eastAsia="Yu Mincho"/>
                <w:i/>
                <w:iCs/>
              </w:rPr>
            </w:pPr>
          </w:p>
          <w:p w14:paraId="344C6C91" w14:textId="77777777" w:rsidR="002F17B5" w:rsidRPr="002F17B5" w:rsidRDefault="002F17B5" w:rsidP="002F17B5">
            <w:pPr>
              <w:spacing w:after="0"/>
              <w:ind w:left="852" w:firstLine="284"/>
              <w:rPr>
                <w:i/>
                <w:iCs/>
              </w:rPr>
            </w:pPr>
            <w:r w:rsidRPr="002F17B5">
              <w:rPr>
                <w:rFonts w:eastAsia="Yu Mincho"/>
                <w:i/>
                <w:iCs/>
              </w:rPr>
              <w:t xml:space="preserve">For PC3 UE, MPR defined in Table 6.2.2-1, except </w:t>
            </w:r>
            <w:r w:rsidRPr="002F17B5">
              <w:rPr>
                <w:i/>
                <w:iCs/>
              </w:rPr>
              <w:t xml:space="preserve">for B &lt; </w:t>
            </w:r>
            <w:r w:rsidRPr="002F17B5">
              <w:rPr>
                <w:bCs/>
                <w:i/>
                <w:iCs/>
              </w:rPr>
              <w:t>9</w:t>
            </w:r>
            <w:r w:rsidRPr="002F17B5">
              <w:rPr>
                <w:i/>
                <w:iCs/>
              </w:rPr>
              <w:t xml:space="preserve"> MHz where </w:t>
            </w:r>
            <w:r w:rsidRPr="002F17B5">
              <w:rPr>
                <w:bCs/>
                <w:i/>
                <w:iCs/>
              </w:rPr>
              <w:t>5.5</w:t>
            </w:r>
            <w:r w:rsidRPr="002F17B5">
              <w:rPr>
                <w:i/>
                <w:iCs/>
              </w:rPr>
              <w:t xml:space="preserve"> dB MPR is used;</w:t>
            </w:r>
          </w:p>
          <w:p w14:paraId="72EDD3A9" w14:textId="77777777" w:rsidR="002F17B5" w:rsidRPr="002F17B5" w:rsidRDefault="002F17B5" w:rsidP="002F17B5">
            <w:pPr>
              <w:spacing w:after="0"/>
              <w:ind w:left="852" w:firstLine="284"/>
              <w:rPr>
                <w:i/>
                <w:iCs/>
              </w:rPr>
            </w:pPr>
            <w:r w:rsidRPr="002F17B5">
              <w:rPr>
                <w:rFonts w:hint="eastAsia"/>
                <w:i/>
                <w:iCs/>
              </w:rPr>
              <w:t xml:space="preserve">For PC2 UE without indicating </w:t>
            </w:r>
            <w:proofErr w:type="spellStart"/>
            <w:r w:rsidRPr="002F17B5">
              <w:rPr>
                <w:rFonts w:hint="eastAsia"/>
                <w:i/>
                <w:iCs/>
              </w:rPr>
              <w:t>TxD</w:t>
            </w:r>
            <w:proofErr w:type="spellEnd"/>
            <w:r w:rsidRPr="002F17B5">
              <w:rPr>
                <w:rFonts w:hint="eastAsia"/>
                <w:i/>
                <w:iCs/>
              </w:rPr>
              <w:t xml:space="preserve">, MPR defined in Table 6.2.2-2 is used, except for B &lt; </w:t>
            </w:r>
            <w:r w:rsidRPr="002F17B5">
              <w:rPr>
                <w:rFonts w:hint="eastAsia"/>
                <w:bCs/>
                <w:i/>
                <w:iCs/>
              </w:rPr>
              <w:t>11.52</w:t>
            </w:r>
            <w:r w:rsidRPr="002F17B5">
              <w:rPr>
                <w:rFonts w:hint="eastAsia"/>
                <w:i/>
                <w:iCs/>
              </w:rPr>
              <w:t xml:space="preserve"> MHz where </w:t>
            </w:r>
            <w:r w:rsidRPr="002F17B5">
              <w:rPr>
                <w:rFonts w:hint="eastAsia"/>
                <w:bCs/>
                <w:i/>
                <w:iCs/>
              </w:rPr>
              <w:t>6.5</w:t>
            </w:r>
            <w:r w:rsidRPr="002F17B5">
              <w:rPr>
                <w:rFonts w:hint="eastAsia"/>
                <w:i/>
                <w:iCs/>
              </w:rPr>
              <w:t xml:space="preserve"> dB </w:t>
            </w:r>
            <w:r w:rsidRPr="002F17B5">
              <w:rPr>
                <w:i/>
                <w:iCs/>
              </w:rPr>
              <w:t xml:space="preserve">MPR </w:t>
            </w:r>
            <w:r w:rsidRPr="002F17B5">
              <w:rPr>
                <w:rFonts w:hint="eastAsia"/>
                <w:i/>
                <w:iCs/>
              </w:rPr>
              <w:t>is used;</w:t>
            </w:r>
          </w:p>
          <w:p w14:paraId="28DDE432" w14:textId="77777777" w:rsidR="002F17B5" w:rsidRPr="002F17B5" w:rsidRDefault="002F17B5" w:rsidP="002F17B5">
            <w:pPr>
              <w:ind w:left="852" w:firstLine="284"/>
              <w:rPr>
                <w:rFonts w:eastAsia="Yu Mincho"/>
                <w:i/>
                <w:iCs/>
              </w:rPr>
            </w:pPr>
            <w:r w:rsidRPr="002F17B5">
              <w:rPr>
                <w:rFonts w:hint="eastAsia"/>
                <w:i/>
                <w:iCs/>
              </w:rPr>
              <w:t xml:space="preserve">For PC2 UE indicating </w:t>
            </w:r>
            <w:proofErr w:type="spellStart"/>
            <w:r w:rsidRPr="002F17B5">
              <w:rPr>
                <w:rFonts w:hint="eastAsia"/>
                <w:i/>
                <w:iCs/>
              </w:rPr>
              <w:t>TxD</w:t>
            </w:r>
            <w:proofErr w:type="spellEnd"/>
            <w:r w:rsidRPr="002F17B5">
              <w:rPr>
                <w:rFonts w:hint="eastAsia"/>
                <w:i/>
                <w:iCs/>
              </w:rPr>
              <w:t>, MPR defined in Table 6.2D.2-1</w:t>
            </w:r>
            <w:r w:rsidRPr="002F17B5">
              <w:rPr>
                <w:i/>
                <w:iCs/>
              </w:rPr>
              <w:t xml:space="preserve"> </w:t>
            </w:r>
            <w:r w:rsidRPr="002F17B5">
              <w:rPr>
                <w:rFonts w:hint="eastAsia"/>
                <w:i/>
                <w:iCs/>
              </w:rPr>
              <w:t xml:space="preserve">is used, except for B &lt; </w:t>
            </w:r>
            <w:r w:rsidRPr="002F17B5">
              <w:rPr>
                <w:rFonts w:hint="eastAsia"/>
                <w:bCs/>
                <w:i/>
                <w:iCs/>
              </w:rPr>
              <w:t>11.52</w:t>
            </w:r>
            <w:r w:rsidRPr="002F17B5">
              <w:rPr>
                <w:rFonts w:hint="eastAsia"/>
                <w:i/>
                <w:iCs/>
              </w:rPr>
              <w:t xml:space="preserve"> MHz where the maximum value between </w:t>
            </w:r>
            <w:r w:rsidRPr="002F17B5">
              <w:rPr>
                <w:rFonts w:hint="eastAsia"/>
                <w:bCs/>
                <w:i/>
                <w:iCs/>
              </w:rPr>
              <w:t>6.5</w:t>
            </w:r>
            <w:r w:rsidRPr="002F17B5">
              <w:rPr>
                <w:rFonts w:hint="eastAsia"/>
                <w:i/>
                <w:iCs/>
              </w:rPr>
              <w:t xml:space="preserve"> dB and MPR defined in Table 6.2D.2-1</w:t>
            </w:r>
            <w:r w:rsidRPr="002F17B5">
              <w:rPr>
                <w:i/>
                <w:iCs/>
              </w:rPr>
              <w:t xml:space="preserve"> </w:t>
            </w:r>
            <w:r w:rsidRPr="002F17B5">
              <w:rPr>
                <w:rFonts w:hint="eastAsia"/>
                <w:i/>
                <w:iCs/>
              </w:rPr>
              <w:t>is used.</w:t>
            </w:r>
          </w:p>
          <w:p w14:paraId="638817EC" w14:textId="77777777" w:rsidR="002F17B5" w:rsidRPr="002F17B5" w:rsidRDefault="002F17B5" w:rsidP="002F17B5">
            <w:pPr>
              <w:spacing w:after="0"/>
              <w:ind w:left="568"/>
              <w:rPr>
                <w:rFonts w:eastAsia="Yu Mincho"/>
                <w:i/>
                <w:iCs/>
              </w:rPr>
            </w:pPr>
            <w:r w:rsidRPr="002F17B5">
              <w:rPr>
                <w:rFonts w:eastAsia="Yu Mincho"/>
                <w:i/>
                <w:iCs/>
              </w:rPr>
              <w:t>Else If AND( F</w:t>
            </w:r>
            <w:r w:rsidRPr="002F17B5">
              <w:rPr>
                <w:rFonts w:eastAsia="Yu Mincho"/>
                <w:i/>
                <w:iCs/>
                <w:vertAlign w:val="subscript"/>
              </w:rPr>
              <w:t xml:space="preserve">IM3,low_block,low </w:t>
            </w:r>
            <w:r w:rsidRPr="002F17B5">
              <w:rPr>
                <w:rFonts w:eastAsia="Yu Mincho"/>
                <w:i/>
                <w:iCs/>
              </w:rPr>
              <w:t>&gt; SEM</w:t>
            </w:r>
            <w:r w:rsidRPr="002F17B5">
              <w:rPr>
                <w:rFonts w:eastAsia="Yu Mincho"/>
                <w:i/>
                <w:iCs/>
                <w:vertAlign w:val="subscript"/>
              </w:rPr>
              <w:t xml:space="preserve">-13,low ,  </w:t>
            </w:r>
            <w:r w:rsidRPr="002F17B5">
              <w:rPr>
                <w:rFonts w:eastAsia="Yu Mincho"/>
                <w:i/>
                <w:iCs/>
              </w:rPr>
              <w:t>F</w:t>
            </w:r>
            <w:r w:rsidRPr="002F17B5">
              <w:rPr>
                <w:rFonts w:eastAsia="Yu Mincho"/>
                <w:i/>
                <w:iCs/>
                <w:vertAlign w:val="subscript"/>
              </w:rPr>
              <w:t>IM3,high_block,high</w:t>
            </w:r>
            <w:r w:rsidRPr="002F17B5">
              <w:rPr>
                <w:rFonts w:eastAsia="Yu Mincho"/>
                <w:i/>
                <w:iCs/>
              </w:rPr>
              <w:t xml:space="preserve"> &lt; SEM</w:t>
            </w:r>
            <w:r w:rsidRPr="002F17B5">
              <w:rPr>
                <w:rFonts w:eastAsia="Yu Mincho"/>
                <w:i/>
                <w:iCs/>
                <w:vertAlign w:val="subscript"/>
              </w:rPr>
              <w:t>-13,high</w:t>
            </w:r>
            <w:r w:rsidRPr="002F17B5">
              <w:rPr>
                <w:rFonts w:eastAsia="Yu Mincho"/>
                <w:i/>
                <w:iCs/>
              </w:rPr>
              <w:t xml:space="preserve"> )</w:t>
            </w:r>
          </w:p>
          <w:p w14:paraId="770A96B1" w14:textId="77777777" w:rsidR="002F17B5" w:rsidRPr="002F17B5" w:rsidRDefault="002F17B5" w:rsidP="002F17B5">
            <w:pPr>
              <w:spacing w:after="0"/>
              <w:ind w:left="568"/>
              <w:rPr>
                <w:rFonts w:eastAsia="Yu Mincho"/>
                <w:i/>
                <w:iCs/>
              </w:rPr>
            </w:pPr>
          </w:p>
          <w:p w14:paraId="6C43FBF5" w14:textId="77777777" w:rsidR="002F17B5" w:rsidRPr="002F17B5" w:rsidRDefault="002F17B5" w:rsidP="002F17B5">
            <w:pPr>
              <w:spacing w:after="0"/>
              <w:ind w:left="1134" w:hanging="566"/>
              <w:rPr>
                <w:rFonts w:eastAsia="Yu Mincho"/>
                <w:i/>
                <w:iCs/>
              </w:rPr>
            </w:pPr>
            <w:r w:rsidRPr="002F17B5">
              <w:rPr>
                <w:rFonts w:eastAsia="Yu Mincho"/>
                <w:i/>
                <w:iCs/>
              </w:rPr>
              <w:tab/>
            </w:r>
            <w:r w:rsidRPr="002F17B5">
              <w:rPr>
                <w:rFonts w:eastAsia="Yu Mincho"/>
                <w:i/>
                <w:iCs/>
              </w:rPr>
              <w:tab/>
            </w:r>
            <w:r w:rsidRPr="002F17B5">
              <w:rPr>
                <w:i/>
                <w:iCs/>
              </w:rPr>
              <w:t xml:space="preserve">MPR </w:t>
            </w:r>
            <w:r w:rsidRPr="002F17B5">
              <w:rPr>
                <w:rFonts w:eastAsia="Yu Mincho"/>
                <w:i/>
                <w:iCs/>
              </w:rPr>
              <w:t xml:space="preserve">defined in Clause 6.2A.2.2.2.3 and Clause 6.2A.2.2.2.4 for PC3 and PC2 UE </w:t>
            </w:r>
            <w:r w:rsidRPr="002F17B5">
              <w:rPr>
                <w:i/>
                <w:iCs/>
              </w:rPr>
              <w:t>respectively.</w:t>
            </w:r>
          </w:p>
          <w:p w14:paraId="0725E95B" w14:textId="77777777" w:rsidR="002F17B5" w:rsidRPr="002F17B5" w:rsidRDefault="002F17B5" w:rsidP="002F17B5">
            <w:pPr>
              <w:spacing w:after="0"/>
              <w:ind w:left="568"/>
              <w:rPr>
                <w:rFonts w:eastAsia="Yu Mincho"/>
                <w:i/>
                <w:iCs/>
              </w:rPr>
            </w:pPr>
          </w:p>
          <w:p w14:paraId="54760B91" w14:textId="77777777" w:rsidR="002F17B5" w:rsidRPr="002F17B5" w:rsidRDefault="002F17B5" w:rsidP="002F17B5">
            <w:pPr>
              <w:ind w:left="568"/>
              <w:rPr>
                <w:i/>
                <w:iCs/>
              </w:rPr>
            </w:pPr>
            <w:r w:rsidRPr="002F17B5">
              <w:rPr>
                <w:i/>
                <w:iCs/>
              </w:rPr>
              <w:lastRenderedPageBreak/>
              <w:t>Else</w:t>
            </w:r>
          </w:p>
          <w:p w14:paraId="4FA6ACC4" w14:textId="77777777" w:rsidR="002F17B5" w:rsidRPr="002F17B5" w:rsidRDefault="002F17B5" w:rsidP="002F17B5">
            <w:pPr>
              <w:spacing w:after="0"/>
              <w:ind w:left="1134" w:hanging="566"/>
              <w:rPr>
                <w:rFonts w:eastAsia="Yu Mincho"/>
                <w:i/>
                <w:iCs/>
              </w:rPr>
            </w:pPr>
            <w:r w:rsidRPr="002F17B5">
              <w:rPr>
                <w:rFonts w:eastAsia="Yu Mincho"/>
                <w:i/>
                <w:iCs/>
              </w:rPr>
              <w:tab/>
            </w:r>
            <w:r w:rsidRPr="002F17B5">
              <w:rPr>
                <w:rFonts w:eastAsia="Yu Mincho"/>
                <w:i/>
                <w:iCs/>
              </w:rPr>
              <w:tab/>
              <w:t>MPR defined in Clause 6.2A.2.2.1.3 and Clause 6.2A.2.2.1.4 for PC3 and PC2 UE respectively.</w:t>
            </w:r>
          </w:p>
          <w:p w14:paraId="5A67BA11" w14:textId="77777777" w:rsidR="002F17B5" w:rsidRPr="002F17B5" w:rsidRDefault="002F17B5" w:rsidP="009267C2">
            <w:pPr>
              <w:pStyle w:val="B1"/>
              <w:ind w:left="0" w:firstLine="0"/>
              <w:rPr>
                <w:i/>
                <w:iCs/>
                <w:sz w:val="24"/>
                <w:szCs w:val="24"/>
                <w:lang w:eastAsia="zh-CN"/>
              </w:rPr>
            </w:pPr>
          </w:p>
        </w:tc>
      </w:tr>
    </w:tbl>
    <w:p w14:paraId="6DDE716D" w14:textId="77777777" w:rsidR="002F17B5" w:rsidRDefault="002F17B5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69F43935" w14:textId="77777777" w:rsidR="00564E2E" w:rsidRDefault="002F17B5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For single CC fallback, it actually corresponds to the case where RB allocation of one of the two CCs is zero, i.e., either </w:t>
      </w:r>
      <w:r w:rsidRPr="002F17B5">
        <w:rPr>
          <w:i/>
          <w:iCs/>
        </w:rPr>
        <w:t>L</w:t>
      </w:r>
      <w:r w:rsidRPr="002F17B5">
        <w:rPr>
          <w:i/>
          <w:iCs/>
          <w:vertAlign w:val="subscript"/>
        </w:rPr>
        <w:t xml:space="preserve">CRB1 </w:t>
      </w:r>
      <w:r w:rsidRPr="002F17B5">
        <w:rPr>
          <w:rFonts w:eastAsia="Yu Mincho"/>
          <w:i/>
          <w:iCs/>
        </w:rPr>
        <w:t>= 0</w:t>
      </w:r>
      <w:r>
        <w:rPr>
          <w:sz w:val="24"/>
          <w:szCs w:val="24"/>
          <w:lang w:eastAsia="zh-CN"/>
        </w:rPr>
        <w:t xml:space="preserve"> or </w:t>
      </w:r>
      <w:r w:rsidRPr="002F17B5">
        <w:rPr>
          <w:i/>
          <w:iCs/>
        </w:rPr>
        <w:t>L</w:t>
      </w:r>
      <w:r w:rsidRPr="002F17B5">
        <w:rPr>
          <w:i/>
          <w:iCs/>
          <w:vertAlign w:val="subscript"/>
        </w:rPr>
        <w:t>CRB</w:t>
      </w:r>
      <w:r>
        <w:rPr>
          <w:i/>
          <w:iCs/>
          <w:vertAlign w:val="subscript"/>
        </w:rPr>
        <w:t>2</w:t>
      </w:r>
      <w:r w:rsidRPr="002F17B5">
        <w:rPr>
          <w:i/>
          <w:iCs/>
          <w:vertAlign w:val="subscript"/>
        </w:rPr>
        <w:t xml:space="preserve"> </w:t>
      </w:r>
      <w:r w:rsidRPr="002F17B5">
        <w:rPr>
          <w:rFonts w:eastAsia="Yu Mincho"/>
          <w:i/>
          <w:iCs/>
        </w:rPr>
        <w:t>= 0</w:t>
      </w:r>
      <w:r>
        <w:rPr>
          <w:sz w:val="24"/>
          <w:szCs w:val="24"/>
          <w:lang w:eastAsia="zh-CN"/>
        </w:rPr>
        <w:t xml:space="preserve"> , which is already covered by the current specs. Moreover, since the </w:t>
      </w:r>
      <w:r w:rsidRPr="002F17B5">
        <w:rPr>
          <w:sz w:val="24"/>
          <w:szCs w:val="24"/>
          <w:lang w:eastAsia="zh-CN"/>
        </w:rPr>
        <w:t>applicable emission requirements are composite based</w:t>
      </w:r>
      <w:r>
        <w:rPr>
          <w:sz w:val="24"/>
          <w:szCs w:val="24"/>
          <w:lang w:eastAsia="zh-CN"/>
        </w:rPr>
        <w:t xml:space="preserve">, </w:t>
      </w:r>
      <w:r w:rsidR="00853960">
        <w:rPr>
          <w:sz w:val="24"/>
          <w:szCs w:val="24"/>
          <w:lang w:eastAsia="zh-CN"/>
        </w:rPr>
        <w:t xml:space="preserve">[3] identifies some cases </w:t>
      </w:r>
      <w:r w:rsidR="00A92B03">
        <w:rPr>
          <w:sz w:val="24"/>
          <w:szCs w:val="24"/>
          <w:lang w:eastAsia="zh-CN"/>
        </w:rPr>
        <w:t xml:space="preserve">for </w:t>
      </w:r>
      <w:r w:rsidR="00206588" w:rsidRPr="00206588">
        <w:rPr>
          <w:b/>
          <w:bCs/>
          <w:sz w:val="24"/>
          <w:szCs w:val="24"/>
          <w:lang w:eastAsia="zh-CN"/>
        </w:rPr>
        <w:t>asymmetric</w:t>
      </w:r>
      <w:r w:rsidR="00206588">
        <w:rPr>
          <w:sz w:val="24"/>
          <w:szCs w:val="24"/>
          <w:lang w:eastAsia="zh-CN"/>
        </w:rPr>
        <w:t xml:space="preserve"> </w:t>
      </w:r>
      <w:r w:rsidR="00A92B03">
        <w:rPr>
          <w:sz w:val="24"/>
          <w:szCs w:val="24"/>
          <w:lang w:eastAsia="zh-CN"/>
        </w:rPr>
        <w:t xml:space="preserve">non-contiguous CA with single PA architecture </w:t>
      </w:r>
      <w:r w:rsidR="00853960">
        <w:rPr>
          <w:sz w:val="24"/>
          <w:szCs w:val="24"/>
          <w:lang w:eastAsia="zh-CN"/>
        </w:rPr>
        <w:t xml:space="preserve">where </w:t>
      </w:r>
      <w:r w:rsidR="00206588">
        <w:rPr>
          <w:sz w:val="24"/>
          <w:szCs w:val="24"/>
          <w:lang w:eastAsia="zh-CN"/>
        </w:rPr>
        <w:t xml:space="preserve">intra-band non-contiguous </w:t>
      </w:r>
      <w:r w:rsidR="00853960" w:rsidRPr="00853960">
        <w:rPr>
          <w:sz w:val="24"/>
          <w:szCs w:val="24"/>
          <w:lang w:eastAsia="zh-CN"/>
        </w:rPr>
        <w:t xml:space="preserve">SEM </w:t>
      </w:r>
      <w:r w:rsidR="00853960">
        <w:rPr>
          <w:sz w:val="24"/>
          <w:szCs w:val="24"/>
          <w:lang w:eastAsia="zh-CN"/>
        </w:rPr>
        <w:t xml:space="preserve">fails </w:t>
      </w:r>
      <w:r w:rsidR="00853960" w:rsidRPr="00853960">
        <w:rPr>
          <w:sz w:val="24"/>
          <w:szCs w:val="24"/>
          <w:lang w:eastAsia="zh-CN"/>
        </w:rPr>
        <w:t>if</w:t>
      </w:r>
      <w:r w:rsidR="004C2241">
        <w:rPr>
          <w:sz w:val="24"/>
          <w:szCs w:val="24"/>
          <w:lang w:eastAsia="zh-CN"/>
        </w:rPr>
        <w:t xml:space="preserve"> LO is not retuned and</w:t>
      </w:r>
      <w:r w:rsidR="00853960" w:rsidRPr="00853960">
        <w:rPr>
          <w:sz w:val="24"/>
          <w:szCs w:val="24"/>
          <w:lang w:eastAsia="zh-CN"/>
        </w:rPr>
        <w:t xml:space="preserve"> the single CC MPR is used</w:t>
      </w:r>
      <w:r w:rsidR="00206588">
        <w:rPr>
          <w:sz w:val="24"/>
          <w:szCs w:val="24"/>
          <w:lang w:eastAsia="zh-CN"/>
        </w:rPr>
        <w:t xml:space="preserve">. In other words, there could be an alternative to apply single CC MPR by allowing transmission interruption. </w:t>
      </w:r>
    </w:p>
    <w:p w14:paraId="7AC8210F" w14:textId="2DD1F016" w:rsidR="002F17B5" w:rsidRDefault="00206588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However, the improvement is only for a very limited case where only small PRB allocation is made on one CC, which is not a favourite use case for UL CA. Moreover, this may require more works, e.g., further studies on whether and/or how to introduce a new requirement for the transmission interruption, hence we propose not to do any update. </w:t>
      </w:r>
    </w:p>
    <w:p w14:paraId="789CEF04" w14:textId="1577BE73" w:rsidR="002F17B5" w:rsidRPr="00564E2E" w:rsidRDefault="00206588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564E2E">
        <w:rPr>
          <w:b/>
          <w:bCs/>
          <w:sz w:val="24"/>
          <w:szCs w:val="24"/>
          <w:lang w:eastAsia="zh-CN"/>
        </w:rPr>
        <w:t xml:space="preserve">Proposal: By considering the limited and unfavourable use case for UL CA and potential extra required works, RAN4 not to update </w:t>
      </w:r>
      <w:r w:rsidR="00564E2E" w:rsidRPr="00564E2E">
        <w:rPr>
          <w:b/>
          <w:bCs/>
          <w:sz w:val="24"/>
          <w:szCs w:val="24"/>
          <w:lang w:eastAsia="zh-CN"/>
        </w:rPr>
        <w:t>MPR for Single CC Fallback from Non-contiguous ULCA without dual PA support depending on UE capability</w:t>
      </w:r>
      <w:r w:rsidR="00564E2E" w:rsidRPr="00564E2E">
        <w:rPr>
          <w:b/>
          <w:bCs/>
          <w:sz w:val="24"/>
          <w:szCs w:val="24"/>
          <w:lang w:eastAsia="zh-CN"/>
        </w:rPr>
        <w:t>.</w:t>
      </w:r>
    </w:p>
    <w:p w14:paraId="183AEA31" w14:textId="77777777" w:rsidR="002F17B5" w:rsidRPr="00067F13" w:rsidRDefault="002F17B5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EF56B81" w14:textId="502B2521" w:rsidR="001B434D" w:rsidRPr="00AB3D40" w:rsidRDefault="001B434D" w:rsidP="001B434D">
      <w:pPr>
        <w:pStyle w:val="Heading1"/>
        <w:rPr>
          <w:lang w:eastAsia="zh-CN"/>
        </w:rPr>
      </w:pPr>
      <w:r>
        <w:t>3 Conclusion</w:t>
      </w:r>
    </w:p>
    <w:p w14:paraId="3F6700F5" w14:textId="7E293A1A" w:rsidR="009267C2" w:rsidRDefault="00564E2E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contribution, we have the following proposal on MPR applicability for FR1 intra-band UL CA:</w:t>
      </w:r>
    </w:p>
    <w:p w14:paraId="60A55451" w14:textId="77777777" w:rsidR="00564E2E" w:rsidRPr="00564E2E" w:rsidRDefault="00564E2E" w:rsidP="00564E2E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564E2E">
        <w:rPr>
          <w:b/>
          <w:bCs/>
          <w:sz w:val="24"/>
          <w:szCs w:val="24"/>
          <w:lang w:eastAsia="zh-CN"/>
        </w:rPr>
        <w:t>Proposal: By considering the limited and unfavourable use case for UL CA and potential extra required works, RAN4 not to update MPR for Single CC Fallback from Non-contiguous ULCA without dual PA support depending on UE capability.</w:t>
      </w:r>
    </w:p>
    <w:p w14:paraId="33892EE2" w14:textId="77777777" w:rsidR="00564E2E" w:rsidRPr="00627FD1" w:rsidRDefault="00564E2E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627CE097" w14:textId="43F77AB1" w:rsidR="009267C2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 w:rsidR="007622E6">
        <w:rPr>
          <w:sz w:val="24"/>
          <w:szCs w:val="24"/>
          <w:lang w:eastAsia="zh-CN"/>
        </w:rPr>
        <w:t>R4-2420527, “</w:t>
      </w:r>
      <w:r w:rsidR="007622E6" w:rsidRPr="007622E6">
        <w:rPr>
          <w:sz w:val="24"/>
          <w:szCs w:val="24"/>
          <w:lang w:eastAsia="zh-CN"/>
        </w:rPr>
        <w:t>WF on Power domain enhancement</w:t>
      </w:r>
      <w:r w:rsidR="007622E6">
        <w:rPr>
          <w:sz w:val="24"/>
          <w:szCs w:val="24"/>
          <w:lang w:eastAsia="zh-CN"/>
        </w:rPr>
        <w:t>”, Huawei</w:t>
      </w:r>
    </w:p>
    <w:p w14:paraId="45ADD76B" w14:textId="3217DBBB" w:rsidR="002F17B5" w:rsidRDefault="002F17B5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[2] </w:t>
      </w:r>
      <w:r w:rsidR="00BC71D5">
        <w:rPr>
          <w:sz w:val="24"/>
          <w:szCs w:val="24"/>
          <w:lang w:eastAsia="zh-CN"/>
        </w:rPr>
        <w:t xml:space="preserve">3GPP </w:t>
      </w:r>
      <w:r>
        <w:rPr>
          <w:sz w:val="24"/>
          <w:szCs w:val="24"/>
          <w:lang w:eastAsia="zh-CN"/>
        </w:rPr>
        <w:t>TS 38.101-1 v18.8.0</w:t>
      </w:r>
    </w:p>
    <w:p w14:paraId="796A81D8" w14:textId="1982DBE7" w:rsidR="00BC71D5" w:rsidRPr="00627FD1" w:rsidRDefault="00BC71D5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[3] </w:t>
      </w:r>
      <w:r w:rsidRPr="00BC71D5">
        <w:rPr>
          <w:sz w:val="24"/>
          <w:szCs w:val="24"/>
          <w:lang w:eastAsia="zh-CN"/>
        </w:rPr>
        <w:t>R4-2411049, “On improved MPR for intra-band ULCA when only one CC has RBs allocated”, Skyworks Solutions Inc.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39879" w14:textId="77777777" w:rsidR="00F15CA7" w:rsidRPr="00A10429" w:rsidRDefault="00F15CA7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7C1C1744" w14:textId="77777777" w:rsidR="00F15CA7" w:rsidRPr="00A10429" w:rsidRDefault="00F15CA7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63D2F" w14:textId="77777777" w:rsidR="00F15CA7" w:rsidRPr="00A10429" w:rsidRDefault="00F15CA7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5381706" w14:textId="77777777" w:rsidR="00F15CA7" w:rsidRPr="00A10429" w:rsidRDefault="00F15CA7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E02AA7"/>
    <w:multiLevelType w:val="hybridMultilevel"/>
    <w:tmpl w:val="05306D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8"/>
  </w:num>
  <w:num w:numId="2" w16cid:durableId="767700499">
    <w:abstractNumId w:val="13"/>
  </w:num>
  <w:num w:numId="3" w16cid:durableId="980884213">
    <w:abstractNumId w:val="26"/>
  </w:num>
  <w:num w:numId="4" w16cid:durableId="1846701611">
    <w:abstractNumId w:val="12"/>
  </w:num>
  <w:num w:numId="5" w16cid:durableId="699012852">
    <w:abstractNumId w:val="5"/>
  </w:num>
  <w:num w:numId="6" w16cid:durableId="1450201014">
    <w:abstractNumId w:val="19"/>
  </w:num>
  <w:num w:numId="7" w16cid:durableId="1073939429">
    <w:abstractNumId w:val="4"/>
  </w:num>
  <w:num w:numId="8" w16cid:durableId="214005466">
    <w:abstractNumId w:val="18"/>
  </w:num>
  <w:num w:numId="9" w16cid:durableId="1446921232">
    <w:abstractNumId w:val="28"/>
  </w:num>
  <w:num w:numId="10" w16cid:durableId="1699429464">
    <w:abstractNumId w:val="28"/>
  </w:num>
  <w:num w:numId="11" w16cid:durableId="1062680395">
    <w:abstractNumId w:val="2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5"/>
  </w:num>
  <w:num w:numId="15" w16cid:durableId="1988124532">
    <w:abstractNumId w:val="28"/>
  </w:num>
  <w:num w:numId="16" w16cid:durableId="563225832">
    <w:abstractNumId w:val="28"/>
  </w:num>
  <w:num w:numId="17" w16cid:durableId="599262311">
    <w:abstractNumId w:val="17"/>
  </w:num>
  <w:num w:numId="18" w16cid:durableId="161748096">
    <w:abstractNumId w:val="29"/>
  </w:num>
  <w:num w:numId="19" w16cid:durableId="573126915">
    <w:abstractNumId w:val="28"/>
  </w:num>
  <w:num w:numId="20" w16cid:durableId="2004045065">
    <w:abstractNumId w:val="6"/>
  </w:num>
  <w:num w:numId="21" w16cid:durableId="584807274">
    <w:abstractNumId w:val="28"/>
  </w:num>
  <w:num w:numId="22" w16cid:durableId="181170718">
    <w:abstractNumId w:val="28"/>
  </w:num>
  <w:num w:numId="23" w16cid:durableId="1139999911">
    <w:abstractNumId w:val="9"/>
  </w:num>
  <w:num w:numId="24" w16cid:durableId="986275603">
    <w:abstractNumId w:val="3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20"/>
  </w:num>
  <w:num w:numId="29" w16cid:durableId="381445059">
    <w:abstractNumId w:val="21"/>
  </w:num>
  <w:num w:numId="30" w16cid:durableId="2003196174">
    <w:abstractNumId w:val="16"/>
  </w:num>
  <w:num w:numId="31" w16cid:durableId="886913614">
    <w:abstractNumId w:val="15"/>
  </w:num>
  <w:num w:numId="32" w16cid:durableId="48724925">
    <w:abstractNumId w:val="24"/>
  </w:num>
  <w:num w:numId="33" w16cid:durableId="1028601228">
    <w:abstractNumId w:val="23"/>
  </w:num>
  <w:num w:numId="34" w16cid:durableId="1275207278">
    <w:abstractNumId w:val="14"/>
  </w:num>
  <w:num w:numId="35" w16cid:durableId="608245496">
    <w:abstractNumId w:val="27"/>
  </w:num>
  <w:num w:numId="36" w16cid:durableId="1829983155">
    <w:abstractNumId w:val="22"/>
  </w:num>
  <w:num w:numId="37" w16cid:durableId="195167422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06588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0B6F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7B5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5D52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0C29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7B3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241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165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3687"/>
    <w:rsid w:val="00563D36"/>
    <w:rsid w:val="00563FB6"/>
    <w:rsid w:val="00564E2E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2E6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960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03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C71D5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5BB0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199A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CA7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622E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AC</cp:lastModifiedBy>
  <cp:revision>11</cp:revision>
  <dcterms:created xsi:type="dcterms:W3CDTF">2025-02-07T12:29:00Z</dcterms:created>
  <dcterms:modified xsi:type="dcterms:W3CDTF">2025-02-07T13:21:00Z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